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Thị trường</w:t>
      </w:r>
      <w:r w:rsidRPr="00FA254E">
        <w:rPr>
          <w:b/>
          <w:bCs/>
          <w:noProof/>
          <w:sz w:val="24"/>
          <w:szCs w:val="24"/>
        </w:rPr>
        <w:t xml:space="preserve"> chứng khoán</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Securities Markets</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FIB358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Môn học</w:t>
      </w:r>
      <w:r w:rsidRPr="00FA254E">
        <w:rPr>
          <w:noProof/>
          <w:sz w:val="24"/>
          <w:szCs w:val="24"/>
        </w:rPr>
        <w:t xml:space="preserve"> này trang bị cho học viên những kiến thức lý thuyết nền tảng về chứng khoán, thị trường chứng khoán và hoạt động của thị trường chứng khoán. Cụ thể, cung cấp cơ sở lý luận và thực tiễn về đặc điểm và tính chất của các hàng hóa giao dịch trên thị trường như chứng cổ phiếu, trái phiếu, chứng khoán phái sinh và chứng chỉ quỹ đầu tư. Cơ chế hoạt động và giao dịch của sở giao dịch chứng khoán như nguyên tắc hoạt động, niêm yết chứng khoán, thành viên của thị trường, các loại lệnh giao dịch, và nguyên tắc khớp lệnh. Ngoài ra, học phần cung cấp các kiến thức thực tiễn phương thức hoạt động và giao dịch trên sàn HOSE, HNX và sàn Up-com.</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Trang bị</w:t>
      </w:r>
      <w:r w:rsidRPr="00FA254E">
        <w:rPr>
          <w:noProof/>
          <w:sz w:val="24"/>
          <w:szCs w:val="24"/>
        </w:rPr>
        <w:t xml:space="preserve"> cho người học những cơ sở lý luận và thực tiễn về thị trường chứng khoán, chứng khoán và phát hành chứng khoán, các hình thức tổ chức và giao dịch trên thị trường chứng khoán, Sau khi học xong học phần này người học có những kiến thức nền tảng về chứng khoán và thị trường chứng khoán để tiếp tục cho việc nghiên cứu và học tập các kiến thức chuyên sâu thuộc chuyên ngành tài chính – kế toán – ngân hàng, có khả năng công tác tại các công ty chứng khoán, quỹ đầu tư, các công ty cổ phần và có khả năng hiểu, đánh giá, lựa chọn tham gia các hoạt động đầu tư tài chính một cách chủ động.</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được các vấn đề cơ bản về thị trường chứng khoán, chứng khoán;</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được chức năng, nhiệm vụ và vai trò của các định chế tài chính trên thị trường chứng khoán, phân tích được đặc điểm, tính chất của các loại chứng khoán:</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Áp dụng</w:t>
      </w:r>
      <w:r w:rsidRPr="00FA254E">
        <w:rPr>
          <w:noProof/>
          <w:sz w:val="24"/>
          <w:szCs w:val="24"/>
        </w:rPr>
        <w:t xml:space="preserve"> kiến thức được trang bị nhằm thực hiện các nghiệp vụ phát hành chứng khoán;</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Thực hiện</w:t>
      </w:r>
      <w:r w:rsidRPr="00FA254E">
        <w:rPr>
          <w:noProof/>
          <w:sz w:val="24"/>
          <w:szCs w:val="24"/>
        </w:rPr>
        <w:t xml:space="preserve"> các nghiệp vụ giao dịch chứng khoán và đầu tư chứng khoán;</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các phương pháp phân tích chứng khoán như phân tích cơ bản, phân tích kỹ thuật trong đầu tư chứng khoán.</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thị trường chứng khoán</w:t>
            </w:r>
          </w:p>
          <w:p w:rsidRPr="00FA254E" w:rsidP="004D1122">
            <w:pPr>
              <w:spacing w:before="40" w:after="40"/>
              <w:rPr>
                <w:sz w:val="24"/>
                <w:szCs w:val="24"/>
              </w:rPr>
            </w:pPr>
            <w:r w:rsidRPr="00FA254E">
              <w:rPr>
                <w:noProof/>
                <w:sz w:val="24"/>
                <w:szCs w:val="24"/>
              </w:rPr>
              <w:t>+ Sự ra đời và hình thành thị trường chứng khoán</w:t>
            </w:r>
          </w:p>
          <w:p w:rsidRPr="00FA254E" w:rsidP="004D1122">
            <w:pPr>
              <w:spacing w:before="40" w:after="40"/>
              <w:rPr>
                <w:sz w:val="24"/>
                <w:szCs w:val="24"/>
              </w:rPr>
            </w:pPr>
            <w:r w:rsidRPr="00FA254E">
              <w:rPr>
                <w:noProof/>
                <w:sz w:val="24"/>
                <w:szCs w:val="24"/>
              </w:rPr>
              <w:t>+ Các khái niệm cơ bản</w:t>
            </w:r>
          </w:p>
          <w:p w:rsidRPr="00FA254E" w:rsidP="004D1122">
            <w:pPr>
              <w:spacing w:before="40" w:after="40"/>
              <w:rPr>
                <w:sz w:val="24"/>
                <w:szCs w:val="24"/>
              </w:rPr>
            </w:pPr>
            <w:r w:rsidRPr="00FA254E">
              <w:rPr>
                <w:noProof/>
                <w:sz w:val="24"/>
                <w:szCs w:val="24"/>
              </w:rPr>
              <w:t>+ Vai trò của thị trường chứng khoán</w:t>
            </w:r>
          </w:p>
          <w:p w:rsidRPr="00FA254E" w:rsidP="004D1122">
            <w:pPr>
              <w:spacing w:before="40" w:after="40"/>
              <w:rPr>
                <w:sz w:val="24"/>
                <w:szCs w:val="24"/>
              </w:rPr>
            </w:pPr>
            <w:r w:rsidRPr="00FA254E">
              <w:rPr>
                <w:noProof/>
                <w:sz w:val="24"/>
                <w:szCs w:val="24"/>
              </w:rPr>
              <w:t>+ Các hành vi tiêu cực trên thị trường chứng khoán</w:t>
            </w:r>
          </w:p>
          <w:p w:rsidRPr="00FA254E" w:rsidP="004D1122">
            <w:pPr>
              <w:spacing w:before="40" w:after="40"/>
              <w:rPr>
                <w:sz w:val="24"/>
                <w:szCs w:val="24"/>
              </w:rPr>
            </w:pPr>
            <w:r w:rsidRPr="00FA254E">
              <w:rPr>
                <w:noProof/>
                <w:sz w:val="24"/>
                <w:szCs w:val="24"/>
              </w:rPr>
              <w:t>+ Phân loại thị trường chứng khoán</w:t>
            </w:r>
          </w:p>
          <w:p w:rsidRPr="00FA254E" w:rsidP="004D1122">
            <w:pPr>
              <w:spacing w:before="40" w:after="40"/>
              <w:rPr>
                <w:sz w:val="24"/>
                <w:szCs w:val="24"/>
              </w:rPr>
            </w:pPr>
            <w:r w:rsidRPr="00FA254E">
              <w:rPr>
                <w:noProof/>
                <w:sz w:val="24"/>
                <w:szCs w:val="24"/>
              </w:rPr>
              <w:t>+ Chủ thể tham gia thị trường chứng khoán</w:t>
            </w:r>
          </w:p>
          <w:p w:rsidR="002655A9" w:rsidRPr="00FA254E" w:rsidP="004D1122">
            <w:pPr>
              <w:spacing w:before="40" w:after="40"/>
              <w:rPr>
                <w:color w:val="000000"/>
                <w:sz w:val="24"/>
                <w:szCs w:val="24"/>
              </w:rPr>
            </w:pPr>
            <w:r w:rsidRPr="00FA254E">
              <w:rPr>
                <w:noProof/>
                <w:sz w:val="24"/>
                <w:szCs w:val="24"/>
              </w:rPr>
              <w:t>+ Nguyên tắc hoạt động của thị trường chứng khoán</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Chứng khoán</w:t>
            </w:r>
          </w:p>
          <w:p w:rsidRPr="00FA254E" w:rsidP="004D1122">
            <w:pPr>
              <w:spacing w:before="40" w:after="40"/>
              <w:rPr>
                <w:sz w:val="24"/>
                <w:szCs w:val="24"/>
              </w:rPr>
            </w:pPr>
            <w:r w:rsidRPr="00FA254E">
              <w:rPr>
                <w:noProof/>
                <w:sz w:val="24"/>
                <w:szCs w:val="24"/>
              </w:rPr>
              <w:t>+ Tổng quan về chứng khoán.</w:t>
            </w:r>
          </w:p>
          <w:p w:rsidRPr="00FA254E" w:rsidP="004D1122">
            <w:pPr>
              <w:spacing w:before="40" w:after="40"/>
              <w:rPr>
                <w:sz w:val="24"/>
                <w:szCs w:val="24"/>
              </w:rPr>
            </w:pPr>
            <w:r w:rsidRPr="00FA254E">
              <w:rPr>
                <w:noProof/>
                <w:sz w:val="24"/>
                <w:szCs w:val="24"/>
              </w:rPr>
              <w:t>+ Chứng khoán nợ - trái phiếu</w:t>
            </w:r>
          </w:p>
          <w:p w:rsidRPr="00FA254E" w:rsidP="004D1122">
            <w:pPr>
              <w:spacing w:before="40" w:after="40"/>
              <w:rPr>
                <w:sz w:val="24"/>
                <w:szCs w:val="24"/>
              </w:rPr>
            </w:pPr>
            <w:r w:rsidRPr="00FA254E">
              <w:rPr>
                <w:noProof/>
                <w:sz w:val="24"/>
                <w:szCs w:val="24"/>
              </w:rPr>
              <w:t>+ Chứng khoán vốn – cổ phiếu</w:t>
            </w:r>
          </w:p>
          <w:p w:rsidRPr="00FA254E" w:rsidP="004D1122">
            <w:pPr>
              <w:spacing w:before="40" w:after="40"/>
              <w:rPr>
                <w:sz w:val="24"/>
                <w:szCs w:val="24"/>
              </w:rPr>
            </w:pPr>
            <w:r w:rsidRPr="00FA254E">
              <w:rPr>
                <w:noProof/>
                <w:sz w:val="24"/>
                <w:szCs w:val="24"/>
              </w:rPr>
              <w:t>+ Chứng khoán phái sinh</w:t>
            </w:r>
          </w:p>
          <w:p w:rsidR="002655A9" w:rsidRPr="00FA254E" w:rsidP="004D1122">
            <w:pPr>
              <w:spacing w:before="40" w:after="40"/>
              <w:rPr>
                <w:color w:val="000000"/>
                <w:sz w:val="24"/>
                <w:szCs w:val="24"/>
              </w:rPr>
            </w:pPr>
            <w:r w:rsidRPr="00FA254E">
              <w:rPr>
                <w:noProof/>
                <w:sz w:val="24"/>
                <w:szCs w:val="24"/>
              </w:rPr>
              <w:t>+ Chứng chỉ quỹ đầu tư</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Phát hành</w:t>
            </w:r>
            <w:r w:rsidRPr="00FA254E">
              <w:rPr>
                <w:noProof/>
                <w:sz w:val="24"/>
                <w:szCs w:val="24"/>
              </w:rPr>
              <w:t xml:space="preserve"> chứng khoán</w:t>
            </w:r>
          </w:p>
          <w:p w:rsidRPr="00FA254E" w:rsidP="004D1122">
            <w:pPr>
              <w:spacing w:before="40" w:after="40"/>
              <w:rPr>
                <w:sz w:val="24"/>
                <w:szCs w:val="24"/>
              </w:rPr>
            </w:pPr>
            <w:r w:rsidRPr="00FA254E">
              <w:rPr>
                <w:noProof/>
                <w:sz w:val="24"/>
                <w:szCs w:val="24"/>
              </w:rPr>
              <w:t>+ Các khái niệm</w:t>
            </w:r>
          </w:p>
          <w:p w:rsidRPr="00FA254E" w:rsidP="004D1122">
            <w:pPr>
              <w:spacing w:before="40" w:after="40"/>
              <w:rPr>
                <w:sz w:val="24"/>
                <w:szCs w:val="24"/>
              </w:rPr>
            </w:pPr>
            <w:r w:rsidRPr="00FA254E">
              <w:rPr>
                <w:noProof/>
                <w:sz w:val="24"/>
                <w:szCs w:val="24"/>
              </w:rPr>
              <w:t>+ Các phương thức phát hành</w:t>
            </w:r>
          </w:p>
          <w:p w:rsidR="002655A9" w:rsidRPr="00FA254E" w:rsidP="004D1122">
            <w:pPr>
              <w:spacing w:before="40" w:after="40"/>
              <w:rPr>
                <w:color w:val="000000"/>
                <w:sz w:val="24"/>
                <w:szCs w:val="24"/>
              </w:rPr>
            </w:pPr>
            <w:r w:rsidRPr="00FA254E">
              <w:rPr>
                <w:noProof/>
                <w:sz w:val="24"/>
                <w:szCs w:val="24"/>
              </w:rPr>
              <w:t>+ Quy định đối với phát hành chứng khoán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định</w:t>
            </w:r>
            <w:r w:rsidRPr="00FA254E">
              <w:rPr>
                <w:noProof/>
                <w:sz w:val="24"/>
                <w:szCs w:val="24"/>
              </w:rPr>
              <w:t xml:space="preserve"> chế tài chính trên thị trường chứng khoán</w:t>
            </w:r>
          </w:p>
          <w:p w:rsidRPr="00FA254E" w:rsidP="004D1122">
            <w:pPr>
              <w:spacing w:before="40" w:after="40"/>
              <w:rPr>
                <w:sz w:val="24"/>
                <w:szCs w:val="24"/>
              </w:rPr>
            </w:pPr>
            <w:r w:rsidRPr="00FA254E">
              <w:rPr>
                <w:noProof/>
                <w:sz w:val="24"/>
                <w:szCs w:val="24"/>
              </w:rPr>
              <w:t>+ Công ty chứng khoán.</w:t>
            </w:r>
          </w:p>
          <w:p w:rsidRPr="00FA254E" w:rsidP="004D1122">
            <w:pPr>
              <w:spacing w:before="40" w:after="40"/>
              <w:rPr>
                <w:sz w:val="24"/>
                <w:szCs w:val="24"/>
              </w:rPr>
            </w:pPr>
            <w:r w:rsidRPr="00FA254E">
              <w:rPr>
                <w:noProof/>
                <w:sz w:val="24"/>
                <w:szCs w:val="24"/>
              </w:rPr>
              <w:t>+ Công ty lưu ký và bù trừ chứng khoán</w:t>
            </w:r>
          </w:p>
          <w:p w:rsidR="002655A9" w:rsidRPr="00FA254E" w:rsidP="004D1122">
            <w:pPr>
              <w:spacing w:before="40" w:after="40"/>
              <w:rPr>
                <w:color w:val="000000"/>
                <w:sz w:val="24"/>
                <w:szCs w:val="24"/>
              </w:rPr>
            </w:pPr>
            <w:r w:rsidRPr="00FA254E">
              <w:rPr>
                <w:noProof/>
                <w:sz w:val="24"/>
                <w:szCs w:val="24"/>
              </w:rPr>
              <w:t>+ Quỹ đầu tư</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Sở giao</w:t>
            </w:r>
            <w:r w:rsidRPr="00FA254E">
              <w:rPr>
                <w:noProof/>
                <w:sz w:val="24"/>
                <w:szCs w:val="24"/>
              </w:rPr>
              <w:t xml:space="preserve"> dịch chứng khoán</w:t>
            </w:r>
          </w:p>
          <w:p w:rsidRPr="00FA254E" w:rsidP="004D1122">
            <w:pPr>
              <w:spacing w:before="40" w:after="40"/>
              <w:rPr>
                <w:sz w:val="24"/>
                <w:szCs w:val="24"/>
              </w:rPr>
            </w:pPr>
            <w:r w:rsidRPr="00FA254E">
              <w:rPr>
                <w:noProof/>
                <w:sz w:val="24"/>
                <w:szCs w:val="24"/>
              </w:rPr>
              <w:t>+ Khái niệm, vai trò của sở gia dịch chứng khoán.</w:t>
            </w:r>
          </w:p>
          <w:p w:rsidRPr="00FA254E" w:rsidP="004D1122">
            <w:pPr>
              <w:spacing w:before="40" w:after="40"/>
              <w:rPr>
                <w:sz w:val="24"/>
                <w:szCs w:val="24"/>
              </w:rPr>
            </w:pPr>
            <w:r w:rsidRPr="00FA254E">
              <w:rPr>
                <w:noProof/>
                <w:sz w:val="24"/>
                <w:szCs w:val="24"/>
              </w:rPr>
              <w:t>+ Mô hình tổ chức của sở GDCK</w:t>
            </w:r>
          </w:p>
          <w:p w:rsidRPr="00FA254E" w:rsidP="004D1122">
            <w:pPr>
              <w:spacing w:before="40" w:after="40"/>
              <w:rPr>
                <w:sz w:val="24"/>
                <w:szCs w:val="24"/>
              </w:rPr>
            </w:pPr>
            <w:r w:rsidRPr="00FA254E">
              <w:rPr>
                <w:noProof/>
                <w:sz w:val="24"/>
                <w:szCs w:val="24"/>
              </w:rPr>
              <w:t>+ Những nguyên tắc hoạt động của Sở giao dịch chứng khoán</w:t>
            </w:r>
          </w:p>
          <w:p w:rsidRPr="00FA254E" w:rsidP="004D1122">
            <w:pPr>
              <w:spacing w:before="40" w:after="40"/>
              <w:rPr>
                <w:sz w:val="24"/>
                <w:szCs w:val="24"/>
              </w:rPr>
            </w:pPr>
            <w:r w:rsidRPr="00FA254E">
              <w:rPr>
                <w:noProof/>
                <w:sz w:val="24"/>
                <w:szCs w:val="24"/>
              </w:rPr>
              <w:t>+ Phương thức giao dịch tại Sở giao dịch chứng khoán.</w:t>
            </w:r>
          </w:p>
          <w:p w:rsidR="002655A9" w:rsidRPr="00FA254E" w:rsidP="004D1122">
            <w:pPr>
              <w:spacing w:before="40" w:after="40"/>
              <w:rPr>
                <w:color w:val="000000"/>
                <w:sz w:val="24"/>
                <w:szCs w:val="24"/>
              </w:rPr>
            </w:pPr>
            <w:r w:rsidRPr="00FA254E">
              <w:rPr>
                <w:noProof/>
                <w:sz w:val="24"/>
                <w:szCs w:val="24"/>
              </w:rPr>
              <w:t>+ Sở giao dịch HOSE, HNX, Up-com</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15</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Phân tích</w:t>
            </w:r>
            <w:r w:rsidRPr="00FA254E">
              <w:rPr>
                <w:noProof/>
                <w:sz w:val="24"/>
                <w:szCs w:val="24"/>
              </w:rPr>
              <w:t xml:space="preserve"> và đầu tư chứng khoán</w:t>
            </w:r>
          </w:p>
          <w:p w:rsidRPr="00FA254E" w:rsidP="004D1122">
            <w:pPr>
              <w:spacing w:before="40" w:after="40"/>
              <w:rPr>
                <w:sz w:val="24"/>
                <w:szCs w:val="24"/>
              </w:rPr>
            </w:pPr>
            <w:r w:rsidRPr="00FA254E">
              <w:rPr>
                <w:noProof/>
                <w:sz w:val="24"/>
                <w:szCs w:val="24"/>
              </w:rPr>
              <w:t>+ Giới thiệu về các phương pháp phân tích chứng khoán</w:t>
            </w:r>
          </w:p>
          <w:p w:rsidRPr="00FA254E" w:rsidP="004D1122">
            <w:pPr>
              <w:spacing w:before="40" w:after="40"/>
              <w:rPr>
                <w:sz w:val="24"/>
                <w:szCs w:val="24"/>
              </w:rPr>
            </w:pPr>
            <w:r w:rsidRPr="00FA254E">
              <w:rPr>
                <w:noProof/>
                <w:sz w:val="24"/>
                <w:szCs w:val="24"/>
              </w:rPr>
              <w:t>+ Phân tích cơ bản trong đầu tư chứng khoán</w:t>
            </w:r>
          </w:p>
          <w:p w:rsidR="002655A9" w:rsidRPr="00FA254E" w:rsidP="004D1122">
            <w:pPr>
              <w:spacing w:before="40" w:after="40"/>
              <w:rPr>
                <w:color w:val="000000"/>
                <w:sz w:val="24"/>
                <w:szCs w:val="24"/>
              </w:rPr>
            </w:pPr>
            <w:r w:rsidRPr="00FA254E">
              <w:rPr>
                <w:noProof/>
                <w:sz w:val="24"/>
                <w:szCs w:val="24"/>
              </w:rPr>
              <w:t>+ Phân tích kỹ thuật trong đầu tư chứng khoán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15</w:t>
            </w: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3</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Dạy học</w:t>
            </w:r>
            <w:r w:rsidRPr="00FA254E">
              <w:rPr>
                <w:noProof/>
                <w:sz w:val="24"/>
                <w:szCs w:val="24"/>
              </w:rPr>
              <w:t xml:space="preserve"> dựa trên vấn đề</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5</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Seminar</w:t>
            </w:r>
          </w:p>
        </w:tc>
        <w:tc>
          <w:tcPr>
            <w:tcW w:w="2127" w:type="dxa"/>
            <w:vAlign w:val="center"/>
          </w:tcPr>
          <w:p w:rsidR="00190B75" w:rsidRPr="00FA254E" w:rsidP="00190B75" w14:textId="1F32AB3D">
            <w:pPr>
              <w:spacing w:before="40" w:after="40"/>
              <w:jc w:val="center"/>
              <w:rPr>
                <w:sz w:val="24"/>
                <w:szCs w:val="24"/>
              </w:rPr>
            </w:pPr>
            <w:r>
              <w:rPr>
                <w:noProof/>
                <w:sz w:val="24"/>
                <w:szCs w:val="24"/>
              </w:rPr>
              <w:t>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6</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Sử dụng</w:t>
            </w:r>
            <w:r w:rsidRPr="00FA254E">
              <w:rPr>
                <w:noProof/>
                <w:sz w:val="24"/>
                <w:szCs w:val="24"/>
              </w:rPr>
              <w:t xml:space="preserve"> phim tư liệu trong giảng dạy</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7</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Giảng dạy</w:t>
            </w:r>
            <w:r w:rsidRPr="00FA254E">
              <w:rPr>
                <w:noProof/>
                <w:sz w:val="24"/>
                <w:szCs w:val="24"/>
              </w:rPr>
              <w:t xml:space="preserve"> thông qua thực hành</w:t>
            </w:r>
          </w:p>
        </w:tc>
        <w:tc>
          <w:tcPr>
            <w:tcW w:w="2127" w:type="dxa"/>
            <w:vAlign w:val="center"/>
          </w:tcPr>
          <w:p w:rsidR="00190B75" w:rsidRPr="00FA254E" w:rsidP="00190B75" w14:textId="1F32AB3D">
            <w:pPr>
              <w:spacing w:before="40" w:after="40"/>
              <w:jc w:val="center"/>
              <w:rPr>
                <w:sz w:val="24"/>
                <w:szCs w:val="24"/>
              </w:rPr>
            </w:pPr>
            <w:r>
              <w:rPr>
                <w:noProof/>
                <w:sz w:val="24"/>
                <w:szCs w:val="24"/>
              </w:rPr>
              <w:t>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d,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p w:rsidRPr="00FA254E" w:rsidP="00BB1685">
            <w:pPr>
              <w:spacing w:before="40" w:after="40"/>
              <w:rPr>
                <w:sz w:val="24"/>
                <w:szCs w:val="24"/>
              </w:rPr>
            </w:pPr>
            <w:r w:rsidRPr="00FA254E">
              <w:rPr>
                <w:noProof/>
                <w:sz w:val="24"/>
                <w:szCs w:val="24"/>
              </w:rPr>
              <w:t>+ Chuyên cần</w:t>
            </w:r>
          </w:p>
          <w:p w:rsidRPr="00FA254E" w:rsidP="00BB1685">
            <w:pPr>
              <w:spacing w:before="40" w:after="40"/>
              <w:rPr>
                <w:sz w:val="24"/>
                <w:szCs w:val="24"/>
              </w:rPr>
            </w:pPr>
            <w:r w:rsidRPr="00FA254E">
              <w:rPr>
                <w:noProof/>
                <w:sz w:val="24"/>
                <w:szCs w:val="24"/>
              </w:rPr>
              <w:t>+ Bài tập cá nhân (make a clip)</w:t>
            </w:r>
          </w:p>
          <w:p w:rsidRPr="00FA254E" w:rsidP="00BB1685">
            <w:pPr>
              <w:spacing w:before="40" w:after="40"/>
              <w:rPr>
                <w:sz w:val="24"/>
                <w:szCs w:val="24"/>
              </w:rPr>
            </w:pPr>
            <w:r w:rsidRPr="00FA254E">
              <w:rPr>
                <w:noProof/>
                <w:sz w:val="24"/>
                <w:szCs w:val="24"/>
              </w:rPr>
              <w:t>+ Bài tập nhóm</w:t>
            </w:r>
          </w:p>
          <w:p w:rsidR="00EF0C39" w:rsidRPr="00FA254E" w:rsidP="00BB1685">
            <w:pPr>
              <w:spacing w:before="40" w:after="40"/>
              <w:rPr>
                <w:color w:val="000000"/>
                <w:sz w:val="24"/>
                <w:szCs w:val="24"/>
              </w:rPr>
            </w:pPr>
            <w:r w:rsidRPr="00FA254E">
              <w:rPr>
                <w:noProof/>
                <w:sz w:val="24"/>
                <w:szCs w:val="24"/>
              </w:rPr>
              <w:t>+ Thái độ tích cực trong học tập</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29</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 - Bài tập lớn đầu tư - Rubric</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BM Tài</w:t>
            </w:r>
            <w:r w:rsidRPr="00FA254E">
              <w:rPr>
                <w:noProof/>
                <w:sz w:val="24"/>
                <w:szCs w:val="24"/>
              </w:rPr>
              <w:t xml:space="preserve"> chính Ngân hàng</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Bài giảng</w:t>
            </w:r>
            <w:r w:rsidRPr="00FA254E">
              <w:rPr>
                <w:noProof/>
                <w:sz w:val="24"/>
                <w:szCs w:val="24"/>
              </w:rPr>
              <w:t xml:space="preserve"> thị trường chứng khoán</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2024</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Giảng viên</w:t>
            </w:r>
            <w:r w:rsidRPr="00FA254E">
              <w:rPr>
                <w:noProof/>
                <w:sz w:val="24"/>
                <w:szCs w:val="24"/>
              </w:rPr>
              <w:t xml:space="preserve"> cung cấp trên 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Bùi Kim</w:t>
            </w:r>
            <w:r w:rsidRPr="00FA254E">
              <w:rPr>
                <w:noProof/>
                <w:sz w:val="24"/>
                <w:szCs w:val="24"/>
              </w:rPr>
              <w:t xml:space="preserve"> Yến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thị trường chứng khoán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Giao thông</w:t>
            </w:r>
            <w:r w:rsidRPr="00FA254E">
              <w:rPr>
                <w:noProof/>
                <w:sz w:val="24"/>
                <w:szCs w:val="24"/>
              </w:rPr>
              <w:t xml:space="preserve"> vận tải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Đại học Nha trang</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Bùi Kim</w:t>
            </w:r>
            <w:r w:rsidRPr="00FA254E">
              <w:rPr>
                <w:noProof/>
                <w:sz w:val="24"/>
                <w:szCs w:val="24"/>
              </w:rPr>
              <w:t xml:space="preserve"> Yến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Phân tích</w:t>
            </w:r>
            <w:r w:rsidRPr="00FA254E">
              <w:rPr>
                <w:noProof/>
                <w:sz w:val="24"/>
                <w:szCs w:val="24"/>
              </w:rPr>
              <w:t xml:space="preserve"> và đầu tư chứng khoán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Đại học Nha trang</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Đào Lê</w:t>
            </w:r>
            <w:r w:rsidRPr="00FA254E">
              <w:rPr>
                <w:noProof/>
                <w:sz w:val="24"/>
                <w:szCs w:val="24"/>
              </w:rPr>
              <w:t xml:space="preserve"> Minh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những vấn đề cơ bản về chứng khoán và thị trường chứng khoán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Chính trị</w:t>
            </w:r>
            <w:r w:rsidRPr="00FA254E">
              <w:rPr>
                <w:noProof/>
                <w:sz w:val="24"/>
                <w:szCs w:val="24"/>
              </w:rPr>
              <w:t xml:space="preserve"> quốc gia</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Thị</w:t>
            </w:r>
            <w:r w:rsidRPr="00FA254E">
              <w:rPr>
                <w:noProof/>
                <w:sz w:val="24"/>
                <w:szCs w:val="24"/>
              </w:rPr>
              <w:t xml:space="preserve"> Minh Huệ &amp; Lê Thị Hương Lan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Thị trường</w:t>
            </w:r>
            <w:r w:rsidRPr="00FA254E">
              <w:rPr>
                <w:noProof/>
                <w:sz w:val="24"/>
                <w:szCs w:val="24"/>
              </w:rPr>
              <w:t xml:space="preserve"> chứng khoán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Đại học</w:t>
            </w:r>
            <w:r w:rsidRPr="00FA254E">
              <w:rPr>
                <w:noProof/>
                <w:sz w:val="24"/>
                <w:szCs w:val="24"/>
              </w:rPr>
              <w:t xml:space="preserve"> kinh tế quốc dân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https:/</w:t>
            </w:r>
            <w:r w:rsidRPr="00FA254E">
              <w:rPr>
                <w:noProof/>
                <w:sz w:val="24"/>
                <w:szCs w:val="24"/>
              </w:rPr>
              <w:t>/www.lazada.vn/products/giao-trinh-thi-truong-chung-khoan-pgsts-nguyen-thi-minh-hue-ts-le-thi-huong-lan-i1104510780.html</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Văn</w:t>
      </w:r>
      <w:r>
        <w:rPr>
          <w:b/>
          <w:bCs/>
          <w:noProof/>
          <w:sz w:val="24"/>
          <w:szCs w:val="24"/>
        </w:rPr>
        <w:t xml:space="preserve"> Bảy</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